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06949" w14:textId="6AB65DE4" w:rsidR="00E80DEF" w:rsidRDefault="00720D58" w:rsidP="00720D58">
      <w:pPr>
        <w:spacing w:after="0"/>
        <w:jc w:val="center"/>
        <w:rPr>
          <w:rFonts w:ascii="Roboto" w:eastAsia="Times New Roman" w:hAnsi="Roboto" w:cs="Arial"/>
          <w:b/>
          <w:bCs/>
          <w:color w:val="000000"/>
          <w:sz w:val="44"/>
          <w:szCs w:val="44"/>
        </w:rPr>
      </w:pPr>
      <w:r>
        <w:rPr>
          <w:rFonts w:ascii="Roboto" w:eastAsia="Times New Roman" w:hAnsi="Roboto" w:cs="Arial"/>
          <w:b/>
          <w:bCs/>
          <w:noProof/>
          <w:color w:val="000000"/>
          <w:sz w:val="44"/>
          <w:szCs w:val="44"/>
        </w:rPr>
        <w:drawing>
          <wp:inline distT="0" distB="0" distL="0" distR="0" wp14:anchorId="0AF914BB" wp14:editId="5EC26D3D">
            <wp:extent cx="1981200" cy="7864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5318" cy="788101"/>
                    </a:xfrm>
                    <a:prstGeom prst="rect">
                      <a:avLst/>
                    </a:prstGeom>
                    <a:noFill/>
                    <a:ln>
                      <a:noFill/>
                    </a:ln>
                  </pic:spPr>
                </pic:pic>
              </a:graphicData>
            </a:graphic>
          </wp:inline>
        </w:drawing>
      </w:r>
    </w:p>
    <w:p w14:paraId="3103EE89" w14:textId="77777777" w:rsidR="00E80DEF" w:rsidRPr="00720D58" w:rsidRDefault="00E80DEF" w:rsidP="00FE703C">
      <w:pPr>
        <w:spacing w:after="0"/>
        <w:rPr>
          <w:rFonts w:ascii="Roboto" w:eastAsia="Times New Roman" w:hAnsi="Roboto" w:cs="Arial"/>
          <w:b/>
          <w:bCs/>
          <w:color w:val="000000"/>
          <w:sz w:val="18"/>
          <w:szCs w:val="18"/>
        </w:rPr>
      </w:pPr>
    </w:p>
    <w:p w14:paraId="7EE2CF83" w14:textId="77777777" w:rsidR="007A766F" w:rsidRPr="00FE703C" w:rsidRDefault="007A766F" w:rsidP="00FE703C">
      <w:pPr>
        <w:spacing w:after="0"/>
        <w:rPr>
          <w:rFonts w:ascii="Roboto" w:eastAsia="Times New Roman" w:hAnsi="Roboto" w:cs="Arial"/>
          <w:b/>
          <w:bCs/>
          <w:color w:val="000000"/>
          <w:sz w:val="44"/>
          <w:szCs w:val="44"/>
        </w:rPr>
      </w:pPr>
      <w:r w:rsidRPr="00FE703C">
        <w:rPr>
          <w:rFonts w:ascii="Roboto" w:eastAsia="Times New Roman" w:hAnsi="Roboto" w:cs="Arial"/>
          <w:b/>
          <w:bCs/>
          <w:color w:val="000000"/>
          <w:sz w:val="44"/>
          <w:szCs w:val="44"/>
        </w:rPr>
        <w:t xml:space="preserve">Good practice for assessment of </w:t>
      </w:r>
      <w:r w:rsidR="00FE703C">
        <w:rPr>
          <w:rFonts w:ascii="Roboto" w:eastAsia="Times New Roman" w:hAnsi="Roboto" w:cs="Arial"/>
          <w:b/>
          <w:bCs/>
          <w:color w:val="000000"/>
          <w:sz w:val="44"/>
          <w:szCs w:val="44"/>
        </w:rPr>
        <w:t xml:space="preserve">oral </w:t>
      </w:r>
      <w:r w:rsidRPr="00FE703C">
        <w:rPr>
          <w:rFonts w:ascii="Roboto" w:eastAsia="Times New Roman" w:hAnsi="Roboto" w:cs="Arial"/>
          <w:b/>
          <w:bCs/>
          <w:color w:val="000000"/>
          <w:sz w:val="44"/>
          <w:szCs w:val="44"/>
        </w:rPr>
        <w:t>presentations</w:t>
      </w:r>
      <w:r w:rsidR="00FE703C">
        <w:rPr>
          <w:rFonts w:ascii="Roboto" w:eastAsia="Times New Roman" w:hAnsi="Roboto" w:cs="Arial"/>
          <w:b/>
          <w:bCs/>
          <w:color w:val="000000"/>
          <w:sz w:val="44"/>
          <w:szCs w:val="44"/>
        </w:rPr>
        <w:t xml:space="preserve"> at LSE</w:t>
      </w:r>
    </w:p>
    <w:p w14:paraId="5E3FDB4F" w14:textId="77777777" w:rsidR="00FE703C" w:rsidRPr="00C31E1B" w:rsidRDefault="00720D58" w:rsidP="00FE703C">
      <w:pPr>
        <w:spacing w:after="0"/>
        <w:rPr>
          <w:rFonts w:ascii="Roboto" w:eastAsia="Times New Roman" w:hAnsi="Roboto" w:cs="Arial"/>
          <w:color w:val="1155CC"/>
          <w:sz w:val="24"/>
          <w:szCs w:val="24"/>
          <w:u w:val="single"/>
        </w:rPr>
      </w:pPr>
      <w:hyperlink r:id="rId6" w:history="1">
        <w:r w:rsidR="00FE703C" w:rsidRPr="00C31E1B">
          <w:rPr>
            <w:rStyle w:val="Hyperlink"/>
            <w:rFonts w:ascii="Roboto" w:eastAsia="Times New Roman" w:hAnsi="Roboto" w:cs="Arial"/>
            <w:sz w:val="24"/>
            <w:szCs w:val="24"/>
          </w:rPr>
          <w:t>Part of the LSE Assessment Toolkit</w:t>
        </w:r>
      </w:hyperlink>
    </w:p>
    <w:p w14:paraId="52CD5651" w14:textId="77777777" w:rsidR="00FE703C" w:rsidRPr="00C31E1B" w:rsidRDefault="00720D58" w:rsidP="00FE703C">
      <w:pPr>
        <w:spacing w:after="0"/>
        <w:rPr>
          <w:rFonts w:ascii="Roboto" w:eastAsia="Times New Roman" w:hAnsi="Roboto" w:cs="Arial"/>
          <w:sz w:val="24"/>
          <w:szCs w:val="24"/>
        </w:rPr>
      </w:pPr>
      <w:hyperlink r:id="rId7" w:history="1">
        <w:r w:rsidR="00FE703C" w:rsidRPr="00C31E1B">
          <w:rPr>
            <w:rStyle w:val="Hyperlink"/>
            <w:rFonts w:ascii="Roboto" w:eastAsia="Times New Roman" w:hAnsi="Roboto" w:cs="Arial"/>
            <w:sz w:val="24"/>
            <w:szCs w:val="24"/>
          </w:rPr>
          <w:t>Main Assessment Toolkit page on assessing presentations</w:t>
        </w:r>
      </w:hyperlink>
      <w:r w:rsidR="00FE703C" w:rsidRPr="00C31E1B">
        <w:rPr>
          <w:rFonts w:ascii="Roboto" w:eastAsia="Times New Roman" w:hAnsi="Roboto" w:cs="Arial"/>
          <w:color w:val="1155CC"/>
          <w:sz w:val="24"/>
          <w:szCs w:val="24"/>
          <w:u w:val="single"/>
        </w:rPr>
        <w:t xml:space="preserve"> </w:t>
      </w:r>
    </w:p>
    <w:p w14:paraId="2A753B7E" w14:textId="77777777" w:rsidR="007A766F" w:rsidRPr="00C31E1B" w:rsidRDefault="007A766F" w:rsidP="00FE703C">
      <w:pPr>
        <w:spacing w:after="0"/>
        <w:rPr>
          <w:rFonts w:ascii="Roboto" w:eastAsia="Times New Roman" w:hAnsi="Roboto" w:cs="Arial"/>
          <w:b/>
          <w:bCs/>
          <w:color w:val="000000"/>
          <w:sz w:val="24"/>
          <w:szCs w:val="24"/>
        </w:rPr>
      </w:pPr>
    </w:p>
    <w:p w14:paraId="6E7810FC" w14:textId="77777777" w:rsidR="00716A99" w:rsidRPr="00C31E1B" w:rsidRDefault="00716A99" w:rsidP="00C31E1B">
      <w:pPr>
        <w:spacing w:after="120"/>
        <w:rPr>
          <w:rFonts w:ascii="Roboto" w:hAnsi="Roboto"/>
          <w:sz w:val="24"/>
          <w:szCs w:val="24"/>
        </w:rPr>
      </w:pPr>
      <w:r w:rsidRPr="00C31E1B">
        <w:rPr>
          <w:rFonts w:ascii="Roboto" w:hAnsi="Roboto"/>
          <w:sz w:val="24"/>
          <w:szCs w:val="24"/>
        </w:rPr>
        <w:t xml:space="preserve">There are currently few restrictions on how presentations are assessed at LSE. </w:t>
      </w:r>
      <w:r w:rsidR="00FE703C" w:rsidRPr="00C31E1B">
        <w:rPr>
          <w:rFonts w:ascii="Roboto" w:hAnsi="Roboto"/>
          <w:sz w:val="24"/>
          <w:szCs w:val="24"/>
        </w:rPr>
        <w:br/>
      </w:r>
      <w:r w:rsidRPr="00C31E1B">
        <w:rPr>
          <w:rFonts w:ascii="Roboto" w:hAnsi="Roboto"/>
          <w:sz w:val="24"/>
          <w:szCs w:val="24"/>
        </w:rPr>
        <w:t>Two that do apply are marking and moderation, and inclusivity.</w:t>
      </w:r>
    </w:p>
    <w:p w14:paraId="0F3086F1" w14:textId="77777777" w:rsidR="00FE703C" w:rsidRPr="00C31E1B" w:rsidRDefault="00FE703C" w:rsidP="00C31E1B">
      <w:pPr>
        <w:spacing w:after="120"/>
        <w:rPr>
          <w:rFonts w:ascii="Roboto" w:hAnsi="Roboto"/>
          <w:b/>
          <w:sz w:val="24"/>
          <w:szCs w:val="24"/>
        </w:rPr>
      </w:pPr>
    </w:p>
    <w:p w14:paraId="53B57489" w14:textId="77777777" w:rsidR="00716A99" w:rsidRPr="00C31E1B" w:rsidRDefault="00716A99" w:rsidP="00C31E1B">
      <w:pPr>
        <w:spacing w:after="120"/>
        <w:rPr>
          <w:rFonts w:ascii="Roboto" w:hAnsi="Roboto"/>
          <w:b/>
          <w:sz w:val="24"/>
          <w:szCs w:val="24"/>
        </w:rPr>
      </w:pPr>
      <w:r w:rsidRPr="00C31E1B">
        <w:rPr>
          <w:rFonts w:ascii="Roboto" w:hAnsi="Roboto"/>
          <w:b/>
          <w:sz w:val="24"/>
          <w:szCs w:val="24"/>
        </w:rPr>
        <w:t xml:space="preserve">Marking </w:t>
      </w:r>
    </w:p>
    <w:p w14:paraId="73449351" w14:textId="77777777" w:rsidR="00716A99" w:rsidRPr="00C31E1B" w:rsidRDefault="00716A99" w:rsidP="00C31E1B">
      <w:pPr>
        <w:spacing w:after="120"/>
        <w:rPr>
          <w:rFonts w:ascii="Roboto" w:hAnsi="Roboto"/>
          <w:sz w:val="24"/>
          <w:szCs w:val="24"/>
        </w:rPr>
      </w:pPr>
      <w:r w:rsidRPr="00C31E1B">
        <w:rPr>
          <w:rFonts w:ascii="Roboto" w:hAnsi="Roboto"/>
          <w:sz w:val="24"/>
          <w:szCs w:val="24"/>
        </w:rPr>
        <w:t xml:space="preserve">Presentations need to </w:t>
      </w:r>
      <w:r w:rsidR="00CB0531" w:rsidRPr="00C31E1B">
        <w:rPr>
          <w:rFonts w:ascii="Roboto" w:hAnsi="Roboto"/>
          <w:sz w:val="24"/>
          <w:szCs w:val="24"/>
        </w:rPr>
        <w:t xml:space="preserve">be marked by </w:t>
      </w:r>
      <w:r w:rsidRPr="00C31E1B">
        <w:rPr>
          <w:rFonts w:ascii="Roboto" w:hAnsi="Roboto"/>
          <w:sz w:val="24"/>
          <w:szCs w:val="24"/>
        </w:rPr>
        <w:t>one of the methods recognised by LSE</w:t>
      </w:r>
      <w:r w:rsidR="00CB0531" w:rsidRPr="00C31E1B">
        <w:rPr>
          <w:rFonts w:ascii="Roboto" w:hAnsi="Roboto"/>
          <w:sz w:val="24"/>
          <w:szCs w:val="24"/>
        </w:rPr>
        <w:t xml:space="preserve">: </w:t>
      </w:r>
      <w:r w:rsidRPr="00C31E1B">
        <w:rPr>
          <w:rFonts w:ascii="Roboto" w:hAnsi="Roboto"/>
          <w:sz w:val="24"/>
          <w:szCs w:val="24"/>
        </w:rPr>
        <w:t>double-blind marking, sighted double marking, or moderated single marking with a second ex</w:t>
      </w:r>
      <w:r w:rsidR="00CB0531" w:rsidRPr="00C31E1B">
        <w:rPr>
          <w:rFonts w:ascii="Roboto" w:hAnsi="Roboto"/>
          <w:sz w:val="24"/>
          <w:szCs w:val="24"/>
        </w:rPr>
        <w:t>aminer</w:t>
      </w:r>
      <w:r w:rsidRPr="00C31E1B">
        <w:rPr>
          <w:rFonts w:ascii="Roboto" w:hAnsi="Roboto"/>
          <w:sz w:val="24"/>
          <w:szCs w:val="24"/>
        </w:rPr>
        <w:t xml:space="preserve">. </w:t>
      </w:r>
    </w:p>
    <w:p w14:paraId="28D48BAE" w14:textId="77777777" w:rsidR="00716A99" w:rsidRPr="00C31E1B" w:rsidRDefault="00716A99" w:rsidP="00C31E1B">
      <w:pPr>
        <w:spacing w:after="120"/>
        <w:rPr>
          <w:rFonts w:ascii="Roboto" w:hAnsi="Roboto"/>
          <w:sz w:val="24"/>
          <w:szCs w:val="24"/>
        </w:rPr>
      </w:pPr>
      <w:r w:rsidRPr="00C31E1B">
        <w:rPr>
          <w:rFonts w:ascii="Roboto" w:hAnsi="Roboto"/>
          <w:sz w:val="24"/>
          <w:szCs w:val="24"/>
        </w:rPr>
        <w:t xml:space="preserve">For presentations, therefore, more than one marker needs to be involved. </w:t>
      </w:r>
      <w:r w:rsidR="00350E65" w:rsidRPr="00C31E1B">
        <w:rPr>
          <w:rFonts w:ascii="Roboto" w:hAnsi="Roboto"/>
          <w:sz w:val="24"/>
          <w:szCs w:val="24"/>
        </w:rPr>
        <w:t xml:space="preserve">As noted in the toolkit, the ephemeral nature of presentations poses challenges. </w:t>
      </w:r>
      <w:r w:rsidRPr="00C31E1B">
        <w:rPr>
          <w:rFonts w:ascii="Roboto" w:hAnsi="Roboto"/>
          <w:sz w:val="24"/>
          <w:szCs w:val="24"/>
        </w:rPr>
        <w:t>Perhaps the simplest way to moderate is for the moderator to sit in on a proportion of the presentations. This may be difficult if the presentations take place in several seminar groups which are scheduled at the same time</w:t>
      </w:r>
      <w:r w:rsidR="00350E65" w:rsidRPr="00C31E1B">
        <w:rPr>
          <w:rFonts w:ascii="Roboto" w:hAnsi="Roboto"/>
          <w:sz w:val="24"/>
          <w:szCs w:val="24"/>
        </w:rPr>
        <w:t>, and it may cause additional stress for the moderated few</w:t>
      </w:r>
      <w:r w:rsidRPr="00C31E1B">
        <w:rPr>
          <w:rFonts w:ascii="Roboto" w:hAnsi="Roboto"/>
          <w:sz w:val="24"/>
          <w:szCs w:val="24"/>
        </w:rPr>
        <w:t>.</w:t>
      </w:r>
      <w:r w:rsidR="00350E65" w:rsidRPr="00C31E1B">
        <w:rPr>
          <w:rFonts w:ascii="Roboto" w:hAnsi="Roboto"/>
          <w:sz w:val="24"/>
          <w:szCs w:val="24"/>
        </w:rPr>
        <w:t xml:space="preserve"> Recording presentations might be a way to solve scheduling problems and avoid unfairness.</w:t>
      </w:r>
    </w:p>
    <w:p w14:paraId="7CFF526C" w14:textId="77777777" w:rsidR="00350E65" w:rsidRPr="00C31E1B" w:rsidRDefault="00CB0531" w:rsidP="00C31E1B">
      <w:pPr>
        <w:spacing w:after="120"/>
        <w:rPr>
          <w:rFonts w:ascii="Roboto" w:hAnsi="Roboto"/>
          <w:sz w:val="24"/>
          <w:szCs w:val="24"/>
        </w:rPr>
      </w:pPr>
      <w:r w:rsidRPr="00C31E1B">
        <w:rPr>
          <w:rFonts w:ascii="Roboto" w:hAnsi="Roboto"/>
          <w:sz w:val="24"/>
          <w:szCs w:val="24"/>
        </w:rPr>
        <w:t xml:space="preserve">The terms ‘blind’ and ‘sighted’ marking refer to the ability of markers to see </w:t>
      </w:r>
      <w:r w:rsidR="00A11D22" w:rsidRPr="00C31E1B">
        <w:rPr>
          <w:rFonts w:ascii="Roboto" w:hAnsi="Roboto"/>
          <w:sz w:val="24"/>
          <w:szCs w:val="24"/>
        </w:rPr>
        <w:t>each other’s</w:t>
      </w:r>
      <w:r w:rsidRPr="00C31E1B">
        <w:rPr>
          <w:rFonts w:ascii="Roboto" w:hAnsi="Roboto"/>
          <w:sz w:val="24"/>
          <w:szCs w:val="24"/>
        </w:rPr>
        <w:t xml:space="preserve">’ marks and comments, not to anonymity. </w:t>
      </w:r>
      <w:r w:rsidR="00716A99" w:rsidRPr="00C31E1B">
        <w:rPr>
          <w:rFonts w:ascii="Roboto" w:hAnsi="Roboto"/>
          <w:sz w:val="24"/>
          <w:szCs w:val="24"/>
        </w:rPr>
        <w:t>Marking pres</w:t>
      </w:r>
      <w:r w:rsidRPr="00C31E1B">
        <w:rPr>
          <w:rFonts w:ascii="Roboto" w:hAnsi="Roboto"/>
          <w:sz w:val="24"/>
          <w:szCs w:val="24"/>
        </w:rPr>
        <w:t xml:space="preserve">entations cannot be anonymised (which is </w:t>
      </w:r>
      <w:r w:rsidR="00A11D22" w:rsidRPr="00C31E1B">
        <w:rPr>
          <w:rFonts w:ascii="Roboto" w:hAnsi="Roboto"/>
          <w:sz w:val="24"/>
          <w:szCs w:val="24"/>
        </w:rPr>
        <w:t xml:space="preserve">the default for </w:t>
      </w:r>
      <w:r w:rsidRPr="00C31E1B">
        <w:rPr>
          <w:rFonts w:ascii="Roboto" w:hAnsi="Roboto"/>
          <w:sz w:val="24"/>
          <w:szCs w:val="24"/>
        </w:rPr>
        <w:t>other methods</w:t>
      </w:r>
      <w:r w:rsidR="00A11D22" w:rsidRPr="00C31E1B">
        <w:rPr>
          <w:rFonts w:ascii="Roboto" w:hAnsi="Roboto"/>
          <w:sz w:val="24"/>
          <w:szCs w:val="24"/>
        </w:rPr>
        <w:t>, to reduce the possibility of bias</w:t>
      </w:r>
      <w:r w:rsidRPr="00C31E1B">
        <w:rPr>
          <w:rFonts w:ascii="Roboto" w:hAnsi="Roboto"/>
          <w:sz w:val="24"/>
          <w:szCs w:val="24"/>
        </w:rPr>
        <w:t>)</w:t>
      </w:r>
      <w:r w:rsidR="00A11D22" w:rsidRPr="00C31E1B">
        <w:rPr>
          <w:rFonts w:ascii="Roboto" w:hAnsi="Roboto"/>
          <w:sz w:val="24"/>
          <w:szCs w:val="24"/>
        </w:rPr>
        <w:t xml:space="preserve">. Therefore, </w:t>
      </w:r>
      <w:r w:rsidR="00716A99" w:rsidRPr="00C31E1B">
        <w:rPr>
          <w:rFonts w:ascii="Roboto" w:hAnsi="Roboto"/>
          <w:sz w:val="24"/>
          <w:szCs w:val="24"/>
        </w:rPr>
        <w:t xml:space="preserve">the </w:t>
      </w:r>
      <w:r w:rsidRPr="00C31E1B">
        <w:rPr>
          <w:rFonts w:ascii="Roboto" w:hAnsi="Roboto"/>
          <w:sz w:val="24"/>
          <w:szCs w:val="24"/>
        </w:rPr>
        <w:t xml:space="preserve">marking </w:t>
      </w:r>
      <w:r w:rsidR="00716A99" w:rsidRPr="00C31E1B">
        <w:rPr>
          <w:rFonts w:ascii="Roboto" w:hAnsi="Roboto"/>
          <w:sz w:val="24"/>
          <w:szCs w:val="24"/>
        </w:rPr>
        <w:t xml:space="preserve">process </w:t>
      </w:r>
      <w:r w:rsidRPr="00C31E1B">
        <w:rPr>
          <w:rFonts w:ascii="Roboto" w:hAnsi="Roboto"/>
          <w:sz w:val="24"/>
          <w:szCs w:val="24"/>
        </w:rPr>
        <w:t xml:space="preserve">for presentations </w:t>
      </w:r>
      <w:r w:rsidR="00716A99" w:rsidRPr="00C31E1B">
        <w:rPr>
          <w:rFonts w:ascii="Roboto" w:hAnsi="Roboto"/>
          <w:sz w:val="24"/>
          <w:szCs w:val="24"/>
        </w:rPr>
        <w:t xml:space="preserve">needs to be </w:t>
      </w:r>
      <w:r w:rsidR="00A11D22" w:rsidRPr="00C31E1B">
        <w:rPr>
          <w:rFonts w:ascii="Roboto" w:hAnsi="Roboto"/>
          <w:sz w:val="24"/>
          <w:szCs w:val="24"/>
        </w:rPr>
        <w:t>visibly</w:t>
      </w:r>
      <w:r w:rsidRPr="00C31E1B">
        <w:rPr>
          <w:rFonts w:ascii="Roboto" w:hAnsi="Roboto"/>
          <w:sz w:val="24"/>
          <w:szCs w:val="24"/>
        </w:rPr>
        <w:t xml:space="preserve"> rigorous. </w:t>
      </w:r>
    </w:p>
    <w:p w14:paraId="6A09EC9F" w14:textId="77777777" w:rsidR="00CB0531" w:rsidRPr="00C31E1B" w:rsidRDefault="00716A99" w:rsidP="00C31E1B">
      <w:pPr>
        <w:spacing w:after="120"/>
        <w:rPr>
          <w:rFonts w:ascii="Roboto" w:hAnsi="Roboto"/>
          <w:sz w:val="24"/>
          <w:szCs w:val="24"/>
        </w:rPr>
      </w:pPr>
      <w:r w:rsidRPr="00C31E1B">
        <w:rPr>
          <w:rFonts w:ascii="Roboto" w:hAnsi="Roboto"/>
          <w:sz w:val="24"/>
          <w:szCs w:val="24"/>
        </w:rPr>
        <w:t xml:space="preserve">You should consider how to </w:t>
      </w:r>
      <w:r w:rsidR="00BA0675" w:rsidRPr="00C31E1B">
        <w:rPr>
          <w:rFonts w:ascii="Roboto" w:hAnsi="Roboto"/>
          <w:sz w:val="24"/>
          <w:szCs w:val="24"/>
        </w:rPr>
        <w:t>evidence</w:t>
      </w:r>
      <w:r w:rsidR="00CB0531" w:rsidRPr="00C31E1B">
        <w:rPr>
          <w:rFonts w:ascii="Roboto" w:hAnsi="Roboto"/>
          <w:sz w:val="24"/>
          <w:szCs w:val="24"/>
        </w:rPr>
        <w:t xml:space="preserve"> </w:t>
      </w:r>
      <w:r w:rsidR="00A11D22" w:rsidRPr="00C31E1B">
        <w:rPr>
          <w:rFonts w:ascii="Roboto" w:hAnsi="Roboto"/>
          <w:sz w:val="24"/>
          <w:szCs w:val="24"/>
        </w:rPr>
        <w:t xml:space="preserve">your </w:t>
      </w:r>
      <w:r w:rsidRPr="00C31E1B">
        <w:rPr>
          <w:rFonts w:ascii="Roboto" w:hAnsi="Roboto"/>
          <w:sz w:val="24"/>
          <w:szCs w:val="24"/>
        </w:rPr>
        <w:t>marking process to external examiners</w:t>
      </w:r>
      <w:r w:rsidR="00CB0531" w:rsidRPr="00C31E1B">
        <w:rPr>
          <w:rFonts w:ascii="Roboto" w:hAnsi="Roboto"/>
          <w:sz w:val="24"/>
          <w:szCs w:val="24"/>
        </w:rPr>
        <w:t xml:space="preserve">. You should </w:t>
      </w:r>
      <w:r w:rsidRPr="00C31E1B">
        <w:rPr>
          <w:rFonts w:ascii="Roboto" w:hAnsi="Roboto"/>
          <w:sz w:val="24"/>
          <w:szCs w:val="24"/>
        </w:rPr>
        <w:t xml:space="preserve">decide whether </w:t>
      </w:r>
      <w:r w:rsidR="00350E65" w:rsidRPr="00C31E1B">
        <w:rPr>
          <w:rFonts w:ascii="Roboto" w:hAnsi="Roboto"/>
          <w:sz w:val="24"/>
          <w:szCs w:val="24"/>
        </w:rPr>
        <w:t xml:space="preserve">to </w:t>
      </w:r>
      <w:r w:rsidRPr="00C31E1B">
        <w:rPr>
          <w:rFonts w:ascii="Roboto" w:hAnsi="Roboto"/>
          <w:sz w:val="24"/>
          <w:szCs w:val="24"/>
        </w:rPr>
        <w:t xml:space="preserve">record presentations </w:t>
      </w:r>
      <w:r w:rsidR="00350E65" w:rsidRPr="00C31E1B">
        <w:rPr>
          <w:rFonts w:ascii="Roboto" w:hAnsi="Roboto"/>
          <w:sz w:val="24"/>
          <w:szCs w:val="24"/>
        </w:rPr>
        <w:t xml:space="preserve">for the sake of rigour, </w:t>
      </w:r>
      <w:r w:rsidR="00CB0531" w:rsidRPr="00C31E1B">
        <w:rPr>
          <w:rFonts w:ascii="Roboto" w:hAnsi="Roboto"/>
          <w:sz w:val="24"/>
          <w:szCs w:val="24"/>
        </w:rPr>
        <w:t>and</w:t>
      </w:r>
      <w:r w:rsidR="00350E65" w:rsidRPr="00C31E1B">
        <w:rPr>
          <w:rFonts w:ascii="Roboto" w:hAnsi="Roboto"/>
          <w:sz w:val="24"/>
          <w:szCs w:val="24"/>
        </w:rPr>
        <w:t xml:space="preserve"> if so,</w:t>
      </w:r>
      <w:r w:rsidR="00CB0531" w:rsidRPr="00C31E1B">
        <w:rPr>
          <w:rFonts w:ascii="Roboto" w:hAnsi="Roboto"/>
          <w:sz w:val="24"/>
          <w:szCs w:val="24"/>
        </w:rPr>
        <w:t xml:space="preserve"> whether recordings will be made available for the external examiner to view</w:t>
      </w:r>
      <w:r w:rsidRPr="00C31E1B">
        <w:rPr>
          <w:rFonts w:ascii="Roboto" w:hAnsi="Roboto"/>
          <w:sz w:val="24"/>
          <w:szCs w:val="24"/>
        </w:rPr>
        <w:t xml:space="preserve">. </w:t>
      </w:r>
      <w:r w:rsidR="00BA0675" w:rsidRPr="00C31E1B">
        <w:rPr>
          <w:rFonts w:ascii="Roboto" w:hAnsi="Roboto"/>
          <w:sz w:val="24"/>
          <w:szCs w:val="24"/>
        </w:rPr>
        <w:t xml:space="preserve"> </w:t>
      </w:r>
    </w:p>
    <w:p w14:paraId="19C7857A" w14:textId="77777777" w:rsidR="00FE703C" w:rsidRPr="00C31E1B" w:rsidRDefault="00FE703C" w:rsidP="00C31E1B">
      <w:pPr>
        <w:spacing w:after="120"/>
        <w:rPr>
          <w:rFonts w:ascii="Roboto" w:hAnsi="Roboto"/>
          <w:b/>
          <w:sz w:val="24"/>
          <w:szCs w:val="24"/>
        </w:rPr>
      </w:pPr>
    </w:p>
    <w:p w14:paraId="16585A83" w14:textId="77777777" w:rsidR="00CB0531" w:rsidRPr="00C31E1B" w:rsidRDefault="00CB0531" w:rsidP="00C31E1B">
      <w:pPr>
        <w:spacing w:after="120"/>
        <w:rPr>
          <w:rFonts w:ascii="Roboto" w:hAnsi="Roboto"/>
          <w:b/>
          <w:sz w:val="24"/>
          <w:szCs w:val="24"/>
        </w:rPr>
      </w:pPr>
      <w:r w:rsidRPr="00C31E1B">
        <w:rPr>
          <w:rFonts w:ascii="Roboto" w:hAnsi="Roboto"/>
          <w:b/>
          <w:sz w:val="24"/>
          <w:szCs w:val="24"/>
        </w:rPr>
        <w:t>Inclusivity</w:t>
      </w:r>
    </w:p>
    <w:p w14:paraId="5695081D" w14:textId="77777777" w:rsidR="00CB0531" w:rsidRPr="00C31E1B" w:rsidRDefault="00CB0531" w:rsidP="00C31E1B">
      <w:pPr>
        <w:spacing w:after="120"/>
        <w:rPr>
          <w:rFonts w:ascii="Roboto" w:hAnsi="Roboto"/>
          <w:sz w:val="24"/>
          <w:szCs w:val="24"/>
        </w:rPr>
      </w:pPr>
      <w:r w:rsidRPr="00C31E1B">
        <w:rPr>
          <w:rFonts w:ascii="Roboto" w:hAnsi="Roboto"/>
          <w:sz w:val="24"/>
          <w:szCs w:val="24"/>
        </w:rPr>
        <w:t xml:space="preserve">Presentations can avoid some of the problems posed by written assessment for dyslexic students, but there is a danger that criteria can disadvantage </w:t>
      </w:r>
      <w:r w:rsidR="00350E65" w:rsidRPr="00C31E1B">
        <w:rPr>
          <w:rFonts w:ascii="Roboto" w:hAnsi="Roboto"/>
          <w:sz w:val="24"/>
          <w:szCs w:val="24"/>
        </w:rPr>
        <w:t xml:space="preserve">other students. </w:t>
      </w:r>
      <w:r w:rsidR="00A11D22" w:rsidRPr="00C31E1B">
        <w:rPr>
          <w:rFonts w:ascii="Roboto" w:hAnsi="Roboto"/>
          <w:sz w:val="24"/>
          <w:szCs w:val="24"/>
        </w:rPr>
        <w:t>As the toolkit notes, you should s</w:t>
      </w:r>
      <w:r w:rsidR="00350E65" w:rsidRPr="00C31E1B">
        <w:rPr>
          <w:rFonts w:ascii="Roboto" w:hAnsi="Roboto"/>
          <w:sz w:val="24"/>
          <w:szCs w:val="24"/>
        </w:rPr>
        <w:t xml:space="preserve">crutinise criteria to </w:t>
      </w:r>
      <w:r w:rsidR="00C734B0" w:rsidRPr="00C31E1B">
        <w:rPr>
          <w:rFonts w:ascii="Roboto" w:hAnsi="Roboto"/>
          <w:sz w:val="24"/>
          <w:szCs w:val="24"/>
        </w:rPr>
        <w:t xml:space="preserve">focus on essentials and to </w:t>
      </w:r>
      <w:r w:rsidR="00350E65" w:rsidRPr="00C31E1B">
        <w:rPr>
          <w:rFonts w:ascii="Roboto" w:hAnsi="Roboto"/>
          <w:sz w:val="24"/>
          <w:szCs w:val="24"/>
        </w:rPr>
        <w:t>avoid penalising students for non-</w:t>
      </w:r>
      <w:r w:rsidR="00C734B0" w:rsidRPr="00C31E1B">
        <w:rPr>
          <w:rFonts w:ascii="Roboto" w:hAnsi="Roboto"/>
          <w:sz w:val="24"/>
          <w:szCs w:val="24"/>
        </w:rPr>
        <w:t xml:space="preserve">compliance in other areas. For instance: </w:t>
      </w:r>
    </w:p>
    <w:p w14:paraId="2E65270A" w14:textId="77777777" w:rsidR="00C734B0" w:rsidRPr="00C31E1B" w:rsidRDefault="00C734B0" w:rsidP="00C31E1B">
      <w:pPr>
        <w:pStyle w:val="ListParagraph"/>
        <w:numPr>
          <w:ilvl w:val="0"/>
          <w:numId w:val="1"/>
        </w:numPr>
        <w:spacing w:after="120"/>
        <w:rPr>
          <w:rFonts w:ascii="Roboto" w:hAnsi="Roboto"/>
          <w:sz w:val="24"/>
          <w:szCs w:val="24"/>
        </w:rPr>
      </w:pPr>
      <w:r w:rsidRPr="00C31E1B">
        <w:rPr>
          <w:rFonts w:ascii="Roboto" w:hAnsi="Roboto"/>
          <w:sz w:val="24"/>
          <w:szCs w:val="24"/>
        </w:rPr>
        <w:lastRenderedPageBreak/>
        <w:t>Do not include eye contact in criteria; this is disproportionately difficult for students with Asperger’s.</w:t>
      </w:r>
    </w:p>
    <w:p w14:paraId="799770B0" w14:textId="77777777" w:rsidR="00C734B0" w:rsidRPr="00C31E1B" w:rsidRDefault="00C734B0" w:rsidP="00C31E1B">
      <w:pPr>
        <w:pStyle w:val="ListParagraph"/>
        <w:numPr>
          <w:ilvl w:val="0"/>
          <w:numId w:val="1"/>
        </w:numPr>
        <w:spacing w:after="120"/>
        <w:rPr>
          <w:rFonts w:ascii="Roboto" w:hAnsi="Roboto"/>
          <w:sz w:val="24"/>
          <w:szCs w:val="24"/>
        </w:rPr>
      </w:pPr>
      <w:r w:rsidRPr="00C31E1B">
        <w:rPr>
          <w:rFonts w:ascii="Roboto" w:hAnsi="Roboto"/>
          <w:sz w:val="24"/>
          <w:szCs w:val="24"/>
        </w:rPr>
        <w:t xml:space="preserve">Terms relating to confidence, conviction, persuasiveness etc. can be vague </w:t>
      </w:r>
    </w:p>
    <w:p w14:paraId="41CB09C5" w14:textId="77777777" w:rsidR="00BA0675" w:rsidRPr="00C31E1B" w:rsidRDefault="00BA0675" w:rsidP="00C31E1B">
      <w:pPr>
        <w:pStyle w:val="ListParagraph"/>
        <w:numPr>
          <w:ilvl w:val="0"/>
          <w:numId w:val="1"/>
        </w:numPr>
        <w:spacing w:after="120"/>
        <w:rPr>
          <w:rFonts w:ascii="Roboto" w:hAnsi="Roboto"/>
          <w:sz w:val="24"/>
          <w:szCs w:val="24"/>
        </w:rPr>
      </w:pPr>
      <w:r w:rsidRPr="00C31E1B">
        <w:rPr>
          <w:rFonts w:ascii="Roboto" w:hAnsi="Roboto"/>
          <w:sz w:val="24"/>
          <w:szCs w:val="24"/>
        </w:rPr>
        <w:t>Diction can be an issue for deaf students and those with less proficiency in spoken English.</w:t>
      </w:r>
    </w:p>
    <w:p w14:paraId="2542B1E5" w14:textId="77777777" w:rsidR="00716A99" w:rsidRPr="00C31E1B" w:rsidRDefault="00BA0675" w:rsidP="00C31E1B">
      <w:pPr>
        <w:pStyle w:val="ListParagraph"/>
        <w:numPr>
          <w:ilvl w:val="0"/>
          <w:numId w:val="1"/>
        </w:numPr>
        <w:spacing w:after="120"/>
        <w:rPr>
          <w:rFonts w:ascii="Roboto" w:hAnsi="Roboto"/>
          <w:sz w:val="24"/>
          <w:szCs w:val="24"/>
        </w:rPr>
      </w:pPr>
      <w:r w:rsidRPr="00C31E1B">
        <w:rPr>
          <w:rFonts w:ascii="Roboto" w:hAnsi="Roboto"/>
          <w:sz w:val="24"/>
          <w:szCs w:val="24"/>
        </w:rPr>
        <w:t>Rewarding vocabulary and fluency may disadvantage students who speak English as a second language</w:t>
      </w:r>
    </w:p>
    <w:p w14:paraId="0AAF642E" w14:textId="77777777" w:rsidR="00C31E1B" w:rsidRDefault="00C31E1B" w:rsidP="00C31E1B">
      <w:pPr>
        <w:spacing w:after="120"/>
        <w:rPr>
          <w:rFonts w:ascii="Roboto" w:hAnsi="Roboto"/>
          <w:b/>
          <w:sz w:val="24"/>
          <w:szCs w:val="24"/>
        </w:rPr>
      </w:pPr>
    </w:p>
    <w:p w14:paraId="05A2DEDA" w14:textId="77777777" w:rsidR="00BA0675" w:rsidRPr="00C31E1B" w:rsidRDefault="00BA0675" w:rsidP="00C31E1B">
      <w:pPr>
        <w:spacing w:after="120"/>
        <w:rPr>
          <w:rFonts w:ascii="Roboto" w:hAnsi="Roboto"/>
          <w:b/>
          <w:sz w:val="24"/>
          <w:szCs w:val="24"/>
        </w:rPr>
      </w:pPr>
      <w:r w:rsidRPr="00C31E1B">
        <w:rPr>
          <w:rFonts w:ascii="Roboto" w:hAnsi="Roboto"/>
          <w:b/>
          <w:sz w:val="24"/>
          <w:szCs w:val="24"/>
        </w:rPr>
        <w:t>Recording</w:t>
      </w:r>
    </w:p>
    <w:p w14:paraId="544C1621" w14:textId="77777777" w:rsidR="00BA0675" w:rsidRPr="00C31E1B" w:rsidRDefault="00BA0675" w:rsidP="00C31E1B">
      <w:pPr>
        <w:spacing w:after="120"/>
        <w:rPr>
          <w:rFonts w:ascii="Roboto" w:hAnsi="Roboto"/>
          <w:sz w:val="24"/>
          <w:szCs w:val="24"/>
        </w:rPr>
      </w:pPr>
      <w:r w:rsidRPr="00C31E1B">
        <w:rPr>
          <w:rFonts w:ascii="Roboto" w:hAnsi="Roboto"/>
          <w:sz w:val="24"/>
          <w:szCs w:val="24"/>
        </w:rPr>
        <w:t xml:space="preserve">As noted above, recording presentations may assist with scheduling, and offer support for rigorous marking. However, recording may be hard for the academic to carry out while also marking; may cause additional stress; may </w:t>
      </w:r>
    </w:p>
    <w:p w14:paraId="05F9CE07" w14:textId="77777777" w:rsidR="00BA0675" w:rsidRPr="00C31E1B" w:rsidRDefault="00BA0675" w:rsidP="00C31E1B">
      <w:pPr>
        <w:spacing w:after="120"/>
        <w:rPr>
          <w:rFonts w:ascii="Roboto" w:hAnsi="Roboto"/>
          <w:sz w:val="24"/>
          <w:szCs w:val="24"/>
        </w:rPr>
      </w:pPr>
      <w:r w:rsidRPr="00C31E1B">
        <w:rPr>
          <w:rFonts w:ascii="Roboto" w:hAnsi="Roboto"/>
          <w:sz w:val="24"/>
          <w:szCs w:val="24"/>
        </w:rPr>
        <w:t xml:space="preserve">If you record students, then you need to gain explicit permission, and store and delete recordings in compliance with data protection laws. Consider whether to </w:t>
      </w:r>
      <w:r w:rsidR="00716A99" w:rsidRPr="00C31E1B">
        <w:rPr>
          <w:rFonts w:ascii="Roboto" w:hAnsi="Roboto"/>
          <w:sz w:val="24"/>
          <w:szCs w:val="24"/>
        </w:rPr>
        <w:t xml:space="preserve">make them available to the </w:t>
      </w:r>
      <w:r w:rsidRPr="00C31E1B">
        <w:rPr>
          <w:rFonts w:ascii="Roboto" w:hAnsi="Roboto"/>
          <w:sz w:val="24"/>
          <w:szCs w:val="24"/>
        </w:rPr>
        <w:t xml:space="preserve">recorded </w:t>
      </w:r>
      <w:r w:rsidR="00716A99" w:rsidRPr="00C31E1B">
        <w:rPr>
          <w:rFonts w:ascii="Roboto" w:hAnsi="Roboto"/>
          <w:sz w:val="24"/>
          <w:szCs w:val="24"/>
        </w:rPr>
        <w:t>stu</w:t>
      </w:r>
      <w:r w:rsidR="00087256" w:rsidRPr="00C31E1B">
        <w:rPr>
          <w:rFonts w:ascii="Roboto" w:hAnsi="Roboto"/>
          <w:sz w:val="24"/>
          <w:szCs w:val="24"/>
        </w:rPr>
        <w:t>dent so they can reflect on their performance in light of feedback</w:t>
      </w:r>
      <w:r w:rsidR="00716A99" w:rsidRPr="00C31E1B">
        <w:rPr>
          <w:rFonts w:ascii="Roboto" w:hAnsi="Roboto"/>
          <w:sz w:val="24"/>
          <w:szCs w:val="24"/>
        </w:rPr>
        <w:t xml:space="preserve"> (see Murphy and Barry). </w:t>
      </w:r>
    </w:p>
    <w:p w14:paraId="5B619472" w14:textId="77777777" w:rsidR="00FE703C" w:rsidRPr="00C31E1B" w:rsidRDefault="00FE703C" w:rsidP="00C31E1B">
      <w:pPr>
        <w:spacing w:after="120"/>
        <w:rPr>
          <w:rFonts w:ascii="Roboto" w:hAnsi="Roboto"/>
          <w:b/>
          <w:sz w:val="24"/>
          <w:szCs w:val="24"/>
        </w:rPr>
      </w:pPr>
    </w:p>
    <w:p w14:paraId="4988B234" w14:textId="77777777" w:rsidR="00BA0675" w:rsidRPr="00C31E1B" w:rsidRDefault="00BA0675" w:rsidP="00C31E1B">
      <w:pPr>
        <w:spacing w:after="120"/>
        <w:rPr>
          <w:rFonts w:ascii="Roboto" w:hAnsi="Roboto"/>
          <w:b/>
          <w:sz w:val="24"/>
          <w:szCs w:val="24"/>
        </w:rPr>
      </w:pPr>
      <w:r w:rsidRPr="00C31E1B">
        <w:rPr>
          <w:rFonts w:ascii="Roboto" w:hAnsi="Roboto"/>
          <w:b/>
          <w:sz w:val="24"/>
          <w:szCs w:val="24"/>
        </w:rPr>
        <w:t>Scheduling</w:t>
      </w:r>
    </w:p>
    <w:p w14:paraId="1C295819" w14:textId="77777777" w:rsidR="00BA0675" w:rsidRPr="00C31E1B" w:rsidRDefault="00BA0675" w:rsidP="00C31E1B">
      <w:pPr>
        <w:spacing w:after="120"/>
        <w:rPr>
          <w:rFonts w:ascii="Roboto" w:hAnsi="Roboto"/>
          <w:sz w:val="24"/>
          <w:szCs w:val="24"/>
        </w:rPr>
      </w:pPr>
      <w:r w:rsidRPr="00C31E1B">
        <w:rPr>
          <w:rFonts w:ascii="Roboto" w:hAnsi="Roboto"/>
          <w:sz w:val="24"/>
          <w:szCs w:val="24"/>
        </w:rPr>
        <w:t xml:space="preserve">Presentations are normally conducted during class, and present to other students. They </w:t>
      </w:r>
      <w:r w:rsidR="00FF6F41" w:rsidRPr="00C31E1B">
        <w:rPr>
          <w:rFonts w:ascii="Roboto" w:hAnsi="Roboto"/>
          <w:sz w:val="24"/>
          <w:szCs w:val="24"/>
        </w:rPr>
        <w:t xml:space="preserve">could </w:t>
      </w:r>
      <w:r w:rsidRPr="00C31E1B">
        <w:rPr>
          <w:rFonts w:ascii="Roboto" w:hAnsi="Roboto"/>
          <w:sz w:val="24"/>
          <w:szCs w:val="24"/>
        </w:rPr>
        <w:t>also be scheduled outside normal contact hours (e.g. all students presenting to the marker on a specific day).</w:t>
      </w:r>
    </w:p>
    <w:p w14:paraId="79257D70" w14:textId="77777777" w:rsidR="00BA0675" w:rsidRPr="00C31E1B" w:rsidRDefault="00BA0675" w:rsidP="00C31E1B">
      <w:pPr>
        <w:spacing w:after="120"/>
        <w:rPr>
          <w:rFonts w:ascii="Roboto" w:hAnsi="Roboto"/>
          <w:sz w:val="24"/>
          <w:szCs w:val="24"/>
        </w:rPr>
      </w:pPr>
      <w:r w:rsidRPr="00C31E1B">
        <w:rPr>
          <w:rFonts w:ascii="Roboto" w:hAnsi="Roboto"/>
          <w:sz w:val="24"/>
          <w:szCs w:val="24"/>
        </w:rPr>
        <w:t>Scheduling this would increase the administrative workload, as the LSE Exams Office does not arrange the scheduling of non-exam assessments.</w:t>
      </w:r>
    </w:p>
    <w:p w14:paraId="2E4A2108" w14:textId="77777777" w:rsidR="007A766F" w:rsidRPr="00C31E1B" w:rsidRDefault="00FF6F41" w:rsidP="00C31E1B">
      <w:pPr>
        <w:spacing w:after="120"/>
        <w:rPr>
          <w:rFonts w:ascii="Roboto" w:hAnsi="Roboto"/>
          <w:sz w:val="24"/>
          <w:szCs w:val="24"/>
        </w:rPr>
      </w:pPr>
      <w:r w:rsidRPr="00C31E1B">
        <w:rPr>
          <w:rFonts w:ascii="Roboto" w:hAnsi="Roboto"/>
          <w:sz w:val="24"/>
          <w:szCs w:val="24"/>
        </w:rPr>
        <w:t>Solo in-class presentations can be time consuming</w:t>
      </w:r>
      <w:r w:rsidR="00BA0675" w:rsidRPr="00C31E1B">
        <w:rPr>
          <w:rFonts w:ascii="Roboto" w:hAnsi="Roboto"/>
          <w:sz w:val="24"/>
          <w:szCs w:val="24"/>
        </w:rPr>
        <w:t xml:space="preserve"> (an ordinary seminar class would need at least one person to present each week </w:t>
      </w:r>
      <w:r w:rsidRPr="00C31E1B">
        <w:rPr>
          <w:rFonts w:ascii="Roboto" w:hAnsi="Roboto"/>
          <w:sz w:val="24"/>
          <w:szCs w:val="24"/>
        </w:rPr>
        <w:t xml:space="preserve">for </w:t>
      </w:r>
      <w:r w:rsidR="00BA0675" w:rsidRPr="00C31E1B">
        <w:rPr>
          <w:rFonts w:ascii="Roboto" w:hAnsi="Roboto"/>
          <w:sz w:val="24"/>
          <w:szCs w:val="24"/>
        </w:rPr>
        <w:t xml:space="preserve">everyone to be assessed </w:t>
      </w:r>
      <w:r w:rsidRPr="00C31E1B">
        <w:rPr>
          <w:rFonts w:ascii="Roboto" w:hAnsi="Roboto"/>
          <w:sz w:val="24"/>
          <w:szCs w:val="24"/>
        </w:rPr>
        <w:t xml:space="preserve">during </w:t>
      </w:r>
      <w:r w:rsidR="00BA0675" w:rsidRPr="00C31E1B">
        <w:rPr>
          <w:rFonts w:ascii="Roboto" w:hAnsi="Roboto"/>
          <w:sz w:val="24"/>
          <w:szCs w:val="24"/>
        </w:rPr>
        <w:t>one t</w:t>
      </w:r>
      <w:r w:rsidRPr="00C31E1B">
        <w:rPr>
          <w:rFonts w:ascii="Roboto" w:hAnsi="Roboto"/>
          <w:sz w:val="24"/>
          <w:szCs w:val="24"/>
        </w:rPr>
        <w:t>erm). Students can also object to the predominance of presentations during their contact hours, particularly if the standard is not high. P</w:t>
      </w:r>
      <w:r w:rsidR="00BA0675" w:rsidRPr="00C31E1B">
        <w:rPr>
          <w:rFonts w:ascii="Roboto" w:hAnsi="Roboto"/>
          <w:sz w:val="24"/>
          <w:szCs w:val="24"/>
        </w:rPr>
        <w:t xml:space="preserve">air or group </w:t>
      </w:r>
      <w:r w:rsidRPr="00C31E1B">
        <w:rPr>
          <w:rFonts w:ascii="Roboto" w:hAnsi="Roboto"/>
          <w:sz w:val="24"/>
          <w:szCs w:val="24"/>
        </w:rPr>
        <w:t xml:space="preserve">assessments take less class time, and </w:t>
      </w:r>
      <w:r w:rsidR="00BA0675" w:rsidRPr="00C31E1B">
        <w:rPr>
          <w:rFonts w:ascii="Roboto" w:hAnsi="Roboto"/>
          <w:sz w:val="24"/>
          <w:szCs w:val="24"/>
        </w:rPr>
        <w:t xml:space="preserve">have the associated </w:t>
      </w:r>
      <w:r w:rsidRPr="00C31E1B">
        <w:rPr>
          <w:rFonts w:ascii="Roboto" w:hAnsi="Roboto"/>
          <w:sz w:val="24"/>
          <w:szCs w:val="24"/>
        </w:rPr>
        <w:t xml:space="preserve">benefits and complications </w:t>
      </w:r>
      <w:r w:rsidR="00BA0675" w:rsidRPr="00C31E1B">
        <w:rPr>
          <w:rFonts w:ascii="Roboto" w:hAnsi="Roboto"/>
          <w:sz w:val="24"/>
          <w:szCs w:val="24"/>
        </w:rPr>
        <w:t>of assessing group</w:t>
      </w:r>
      <w:r w:rsidRPr="00C31E1B">
        <w:rPr>
          <w:rFonts w:ascii="Roboto" w:hAnsi="Roboto"/>
          <w:sz w:val="24"/>
          <w:szCs w:val="24"/>
        </w:rPr>
        <w:t>-</w:t>
      </w:r>
      <w:r w:rsidR="00BA0675" w:rsidRPr="00C31E1B">
        <w:rPr>
          <w:rFonts w:ascii="Roboto" w:hAnsi="Roboto"/>
          <w:sz w:val="24"/>
          <w:szCs w:val="24"/>
        </w:rPr>
        <w:t>work</w:t>
      </w:r>
      <w:r w:rsidRPr="00C31E1B">
        <w:rPr>
          <w:rFonts w:ascii="Roboto" w:hAnsi="Roboto"/>
          <w:sz w:val="24"/>
          <w:szCs w:val="24"/>
        </w:rPr>
        <w:t xml:space="preserve"> – see the Toolkit for more information.</w:t>
      </w:r>
    </w:p>
    <w:p w14:paraId="6CE206BF" w14:textId="77777777" w:rsidR="00FE703C" w:rsidRPr="00C31E1B" w:rsidRDefault="00FE703C" w:rsidP="00C31E1B">
      <w:pPr>
        <w:spacing w:after="120"/>
        <w:rPr>
          <w:rFonts w:ascii="Roboto" w:hAnsi="Roboto"/>
          <w:b/>
          <w:sz w:val="24"/>
          <w:szCs w:val="24"/>
        </w:rPr>
      </w:pPr>
    </w:p>
    <w:p w14:paraId="3629BB3C" w14:textId="77777777" w:rsidR="00FF6F41" w:rsidRPr="00C31E1B" w:rsidRDefault="00FF6F41" w:rsidP="00C31E1B">
      <w:pPr>
        <w:spacing w:after="120"/>
        <w:rPr>
          <w:rFonts w:ascii="Roboto" w:hAnsi="Roboto"/>
          <w:b/>
          <w:sz w:val="24"/>
          <w:szCs w:val="24"/>
        </w:rPr>
      </w:pPr>
      <w:r w:rsidRPr="00C31E1B">
        <w:rPr>
          <w:rFonts w:ascii="Roboto" w:hAnsi="Roboto"/>
          <w:b/>
          <w:sz w:val="24"/>
          <w:szCs w:val="24"/>
        </w:rPr>
        <w:t>Weighting</w:t>
      </w:r>
    </w:p>
    <w:p w14:paraId="7A00AB5C" w14:textId="77777777" w:rsidR="00455939" w:rsidRPr="00C31E1B" w:rsidRDefault="00FF6F41" w:rsidP="00C31E1B">
      <w:pPr>
        <w:spacing w:after="120"/>
        <w:rPr>
          <w:rFonts w:ascii="Roboto" w:hAnsi="Roboto"/>
          <w:sz w:val="24"/>
          <w:szCs w:val="24"/>
        </w:rPr>
      </w:pPr>
      <w:r w:rsidRPr="00C31E1B">
        <w:rPr>
          <w:rFonts w:ascii="Roboto" w:hAnsi="Roboto"/>
          <w:sz w:val="24"/>
          <w:szCs w:val="24"/>
        </w:rPr>
        <w:t xml:space="preserve">Weighting should reflect the </w:t>
      </w:r>
      <w:r w:rsidR="002D4757" w:rsidRPr="00C31E1B">
        <w:rPr>
          <w:rFonts w:ascii="Roboto" w:hAnsi="Roboto"/>
          <w:sz w:val="24"/>
          <w:szCs w:val="24"/>
        </w:rPr>
        <w:t xml:space="preserve">preparation </w:t>
      </w:r>
      <w:r w:rsidRPr="00C31E1B">
        <w:rPr>
          <w:rFonts w:ascii="Roboto" w:hAnsi="Roboto"/>
          <w:sz w:val="24"/>
          <w:szCs w:val="24"/>
        </w:rPr>
        <w:t xml:space="preserve">effort required by the student. Presentations are often given a low weighting in the overall course assessment, such as 10%. Confusion may arise if students are used to presenting when there is no summative mark, and may fail to present; students should be made aware that failing to present will cause them to fail the entire module. Opportunities to present </w:t>
      </w:r>
      <w:r w:rsidRPr="00C31E1B">
        <w:rPr>
          <w:rFonts w:ascii="Roboto" w:hAnsi="Roboto"/>
          <w:sz w:val="24"/>
          <w:szCs w:val="24"/>
        </w:rPr>
        <w:lastRenderedPageBreak/>
        <w:t>on other days may be useful</w:t>
      </w:r>
      <w:r w:rsidR="00A82595" w:rsidRPr="00C31E1B">
        <w:rPr>
          <w:rFonts w:ascii="Roboto" w:hAnsi="Roboto"/>
          <w:sz w:val="24"/>
          <w:szCs w:val="24"/>
        </w:rPr>
        <w:t xml:space="preserve"> and reduce the number of students needing to submit extenuating circumstances</w:t>
      </w:r>
      <w:r w:rsidRPr="00C31E1B">
        <w:rPr>
          <w:rFonts w:ascii="Roboto" w:hAnsi="Roboto"/>
          <w:sz w:val="24"/>
          <w:szCs w:val="24"/>
        </w:rPr>
        <w:t xml:space="preserve">. </w:t>
      </w:r>
    </w:p>
    <w:p w14:paraId="06BADBF7" w14:textId="77777777" w:rsidR="00FE703C" w:rsidRPr="00C31E1B" w:rsidRDefault="00FE703C" w:rsidP="00C31E1B">
      <w:pPr>
        <w:spacing w:after="120"/>
        <w:rPr>
          <w:rFonts w:ascii="Roboto" w:hAnsi="Roboto"/>
          <w:b/>
          <w:sz w:val="24"/>
          <w:szCs w:val="24"/>
        </w:rPr>
      </w:pPr>
    </w:p>
    <w:p w14:paraId="499549CD" w14:textId="77777777" w:rsidR="00DA4257" w:rsidRDefault="00DA4257" w:rsidP="00C31E1B">
      <w:pPr>
        <w:spacing w:after="120"/>
        <w:rPr>
          <w:rFonts w:ascii="Roboto" w:hAnsi="Roboto"/>
          <w:b/>
          <w:sz w:val="24"/>
          <w:szCs w:val="24"/>
        </w:rPr>
      </w:pPr>
    </w:p>
    <w:p w14:paraId="7F3D2AB7" w14:textId="77777777" w:rsidR="00455939" w:rsidRPr="00C31E1B" w:rsidRDefault="00A82595" w:rsidP="00C31E1B">
      <w:pPr>
        <w:spacing w:after="120"/>
        <w:rPr>
          <w:rFonts w:ascii="Roboto" w:hAnsi="Roboto"/>
          <w:b/>
          <w:sz w:val="24"/>
          <w:szCs w:val="24"/>
        </w:rPr>
      </w:pPr>
      <w:r w:rsidRPr="00C31E1B">
        <w:rPr>
          <w:rFonts w:ascii="Roboto" w:hAnsi="Roboto"/>
          <w:b/>
          <w:sz w:val="24"/>
          <w:szCs w:val="24"/>
        </w:rPr>
        <w:t>Criteria and</w:t>
      </w:r>
      <w:r w:rsidR="00455939" w:rsidRPr="00C31E1B">
        <w:rPr>
          <w:rFonts w:ascii="Roboto" w:hAnsi="Roboto"/>
          <w:b/>
          <w:sz w:val="24"/>
          <w:szCs w:val="24"/>
        </w:rPr>
        <w:t xml:space="preserve"> feedback forms</w:t>
      </w:r>
    </w:p>
    <w:p w14:paraId="689CA83D" w14:textId="77777777" w:rsidR="00A82595" w:rsidRPr="00C31E1B" w:rsidRDefault="00720D58" w:rsidP="00C31E1B">
      <w:pPr>
        <w:spacing w:after="120"/>
        <w:rPr>
          <w:rFonts w:ascii="Roboto" w:hAnsi="Roboto"/>
          <w:color w:val="FF0000"/>
          <w:sz w:val="24"/>
          <w:szCs w:val="24"/>
        </w:rPr>
      </w:pPr>
      <w:hyperlink r:id="rId8" w:history="1">
        <w:r w:rsidR="00DB32AB" w:rsidRPr="00C31E1B">
          <w:rPr>
            <w:rStyle w:val="Hyperlink"/>
            <w:rFonts w:ascii="Roboto" w:hAnsi="Roboto"/>
            <w:sz w:val="24"/>
            <w:szCs w:val="24"/>
          </w:rPr>
          <w:t>Further guidance on feedback on oral presentations is available in this resource.</w:t>
        </w:r>
      </w:hyperlink>
      <w:r w:rsidR="00A82595" w:rsidRPr="00C31E1B">
        <w:rPr>
          <w:rFonts w:ascii="Roboto" w:hAnsi="Roboto"/>
          <w:color w:val="FF0000"/>
          <w:sz w:val="24"/>
          <w:szCs w:val="24"/>
        </w:rPr>
        <w:t xml:space="preserve"> </w:t>
      </w:r>
    </w:p>
    <w:p w14:paraId="5CEF0C71" w14:textId="77777777" w:rsidR="00455939" w:rsidRPr="00C31E1B" w:rsidRDefault="00720D58" w:rsidP="00C31E1B">
      <w:pPr>
        <w:spacing w:after="120"/>
        <w:rPr>
          <w:rFonts w:ascii="Roboto" w:hAnsi="Roboto"/>
          <w:sz w:val="24"/>
          <w:szCs w:val="24"/>
        </w:rPr>
      </w:pPr>
      <w:hyperlink r:id="rId9" w:history="1">
        <w:r w:rsidR="00A82595" w:rsidRPr="00C31E1B">
          <w:rPr>
            <w:rStyle w:val="Hyperlink"/>
            <w:rFonts w:ascii="Roboto" w:hAnsi="Roboto"/>
            <w:sz w:val="24"/>
            <w:szCs w:val="24"/>
          </w:rPr>
          <w:t>Feedback pro forma and criteria/rubrics are available here.</w:t>
        </w:r>
      </w:hyperlink>
      <w:r w:rsidR="00A82595" w:rsidRPr="00C31E1B">
        <w:rPr>
          <w:rFonts w:ascii="Roboto" w:hAnsi="Roboto"/>
          <w:sz w:val="24"/>
          <w:szCs w:val="24"/>
        </w:rPr>
        <w:t xml:space="preserve"> </w:t>
      </w:r>
    </w:p>
    <w:p w14:paraId="59BD348C" w14:textId="77777777" w:rsidR="00FE703C" w:rsidRPr="00C31E1B" w:rsidRDefault="00FE703C" w:rsidP="00C31E1B">
      <w:pPr>
        <w:spacing w:after="120"/>
        <w:rPr>
          <w:rFonts w:ascii="Roboto" w:hAnsi="Roboto"/>
          <w:b/>
          <w:sz w:val="24"/>
          <w:szCs w:val="24"/>
        </w:rPr>
      </w:pPr>
    </w:p>
    <w:p w14:paraId="4A95D578" w14:textId="77777777" w:rsidR="00A82595" w:rsidRPr="00C31E1B" w:rsidRDefault="00A82595" w:rsidP="00C31E1B">
      <w:pPr>
        <w:spacing w:after="120"/>
        <w:rPr>
          <w:rFonts w:ascii="Roboto" w:hAnsi="Roboto"/>
          <w:b/>
          <w:sz w:val="24"/>
          <w:szCs w:val="24"/>
        </w:rPr>
      </w:pPr>
      <w:r w:rsidRPr="00C31E1B">
        <w:rPr>
          <w:rFonts w:ascii="Roboto" w:hAnsi="Roboto"/>
          <w:b/>
          <w:sz w:val="24"/>
          <w:szCs w:val="24"/>
        </w:rPr>
        <w:t>Peer assessment</w:t>
      </w:r>
    </w:p>
    <w:p w14:paraId="712B4B09" w14:textId="77777777" w:rsidR="008257F4" w:rsidRPr="00C31E1B" w:rsidRDefault="00A82595" w:rsidP="00C31E1B">
      <w:pPr>
        <w:spacing w:after="120"/>
        <w:rPr>
          <w:rFonts w:ascii="Roboto" w:hAnsi="Roboto"/>
          <w:sz w:val="24"/>
          <w:szCs w:val="24"/>
        </w:rPr>
      </w:pPr>
      <w:r w:rsidRPr="00C31E1B">
        <w:rPr>
          <w:rFonts w:ascii="Roboto" w:hAnsi="Roboto"/>
          <w:sz w:val="24"/>
          <w:szCs w:val="24"/>
        </w:rPr>
        <w:t>Including an element of peer assessment c</w:t>
      </w:r>
      <w:r w:rsidR="005A4581" w:rsidRPr="00C31E1B">
        <w:rPr>
          <w:rFonts w:ascii="Roboto" w:hAnsi="Roboto"/>
          <w:sz w:val="24"/>
          <w:szCs w:val="24"/>
        </w:rPr>
        <w:t xml:space="preserve">an </w:t>
      </w:r>
      <w:r w:rsidRPr="00C31E1B">
        <w:rPr>
          <w:rFonts w:ascii="Roboto" w:hAnsi="Roboto"/>
          <w:sz w:val="24"/>
          <w:szCs w:val="24"/>
        </w:rPr>
        <w:t xml:space="preserve">encourage students to engage with the presentations more thoroughly, raise the </w:t>
      </w:r>
      <w:r w:rsidR="005A4581" w:rsidRPr="00C31E1B">
        <w:rPr>
          <w:rFonts w:ascii="Roboto" w:hAnsi="Roboto"/>
          <w:sz w:val="24"/>
          <w:szCs w:val="24"/>
        </w:rPr>
        <w:t xml:space="preserve">sense of responsibility </w:t>
      </w:r>
      <w:r w:rsidRPr="00C31E1B">
        <w:rPr>
          <w:rFonts w:ascii="Roboto" w:hAnsi="Roboto"/>
          <w:sz w:val="24"/>
          <w:szCs w:val="24"/>
        </w:rPr>
        <w:t xml:space="preserve">to give a strong presentation, </w:t>
      </w:r>
      <w:r w:rsidR="005A4581" w:rsidRPr="00C31E1B">
        <w:rPr>
          <w:rFonts w:ascii="Roboto" w:hAnsi="Roboto"/>
          <w:sz w:val="24"/>
          <w:szCs w:val="24"/>
        </w:rPr>
        <w:t xml:space="preserve">and </w:t>
      </w:r>
      <w:r w:rsidRPr="00C31E1B">
        <w:rPr>
          <w:rFonts w:ascii="Roboto" w:hAnsi="Roboto"/>
          <w:sz w:val="24"/>
          <w:szCs w:val="24"/>
        </w:rPr>
        <w:t>encourage students to self-evaluate while preparing their own presentation</w:t>
      </w:r>
      <w:r w:rsidR="005A4581" w:rsidRPr="00C31E1B">
        <w:rPr>
          <w:rFonts w:ascii="Roboto" w:hAnsi="Roboto"/>
          <w:sz w:val="24"/>
          <w:szCs w:val="24"/>
        </w:rPr>
        <w:t>.</w:t>
      </w:r>
      <w:r w:rsidRPr="00C31E1B">
        <w:rPr>
          <w:rFonts w:ascii="Roboto" w:hAnsi="Roboto"/>
          <w:sz w:val="24"/>
          <w:szCs w:val="24"/>
        </w:rPr>
        <w:t xml:space="preserve"> Summative peer assessment can be challenging; some studies have found peer assessment prone to bias</w:t>
      </w:r>
      <w:r w:rsidR="00AC056D" w:rsidRPr="00C31E1B">
        <w:rPr>
          <w:rFonts w:ascii="Roboto" w:hAnsi="Roboto"/>
          <w:sz w:val="24"/>
          <w:szCs w:val="24"/>
        </w:rPr>
        <w:t xml:space="preserve"> (</w:t>
      </w:r>
      <w:proofErr w:type="spellStart"/>
      <w:r w:rsidR="00AC056D" w:rsidRPr="00C31E1B">
        <w:rPr>
          <w:rFonts w:ascii="Roboto" w:hAnsi="Roboto"/>
          <w:sz w:val="24"/>
          <w:szCs w:val="24"/>
        </w:rPr>
        <w:t>Aryadoust</w:t>
      </w:r>
      <w:proofErr w:type="spellEnd"/>
      <w:r w:rsidR="00AC056D" w:rsidRPr="00C31E1B">
        <w:rPr>
          <w:rFonts w:ascii="Roboto" w:hAnsi="Roboto"/>
          <w:sz w:val="24"/>
          <w:szCs w:val="24"/>
        </w:rPr>
        <w:t xml:space="preserve"> found students over-rated opposite sex peers)</w:t>
      </w:r>
      <w:r w:rsidRPr="00C31E1B">
        <w:rPr>
          <w:rFonts w:ascii="Roboto" w:hAnsi="Roboto"/>
          <w:sz w:val="24"/>
          <w:szCs w:val="24"/>
        </w:rPr>
        <w:t>, and students would need development to enable them to fairly assess. Formative peer assessment avoids this complication.</w:t>
      </w:r>
    </w:p>
    <w:p w14:paraId="24EA8E6F" w14:textId="77777777" w:rsidR="00FE703C" w:rsidRPr="00C31E1B" w:rsidRDefault="00FE703C" w:rsidP="00C31E1B">
      <w:pPr>
        <w:spacing w:after="120"/>
        <w:rPr>
          <w:rFonts w:ascii="Roboto" w:hAnsi="Roboto"/>
          <w:b/>
          <w:sz w:val="24"/>
          <w:szCs w:val="24"/>
        </w:rPr>
      </w:pPr>
    </w:p>
    <w:p w14:paraId="5566FD08" w14:textId="77777777" w:rsidR="00A82595" w:rsidRPr="00C31E1B" w:rsidRDefault="00A82595" w:rsidP="00C31E1B">
      <w:pPr>
        <w:spacing w:after="120"/>
        <w:rPr>
          <w:rFonts w:ascii="Roboto" w:hAnsi="Roboto"/>
          <w:b/>
          <w:sz w:val="24"/>
          <w:szCs w:val="24"/>
        </w:rPr>
      </w:pPr>
      <w:r w:rsidRPr="00C31E1B">
        <w:rPr>
          <w:rFonts w:ascii="Roboto" w:hAnsi="Roboto"/>
          <w:b/>
          <w:sz w:val="24"/>
          <w:szCs w:val="24"/>
        </w:rPr>
        <w:t>Varieties of presentation</w:t>
      </w:r>
    </w:p>
    <w:p w14:paraId="6B060B66" w14:textId="77777777" w:rsidR="00AF7193" w:rsidRPr="00C31E1B" w:rsidRDefault="00087256" w:rsidP="00C31E1B">
      <w:pPr>
        <w:spacing w:after="120"/>
        <w:rPr>
          <w:rFonts w:ascii="Roboto" w:hAnsi="Roboto"/>
          <w:sz w:val="24"/>
          <w:szCs w:val="24"/>
        </w:rPr>
      </w:pPr>
      <w:r w:rsidRPr="00C31E1B">
        <w:rPr>
          <w:rFonts w:ascii="Roboto" w:hAnsi="Roboto"/>
          <w:sz w:val="24"/>
          <w:szCs w:val="24"/>
        </w:rPr>
        <w:t xml:space="preserve">Students often present using </w:t>
      </w:r>
      <w:r w:rsidR="00A82595" w:rsidRPr="00C31E1B">
        <w:rPr>
          <w:rFonts w:ascii="Roboto" w:hAnsi="Roboto"/>
          <w:sz w:val="24"/>
          <w:szCs w:val="24"/>
        </w:rPr>
        <w:t xml:space="preserve">PowerPoint or equivalent </w:t>
      </w:r>
      <w:r w:rsidRPr="00C31E1B">
        <w:rPr>
          <w:rFonts w:ascii="Roboto" w:hAnsi="Roboto"/>
          <w:sz w:val="24"/>
          <w:szCs w:val="24"/>
        </w:rPr>
        <w:t xml:space="preserve">tools. You could consider alternative methods, which both add variety and have different benefits for the student and the assessor: requiring students to also </w:t>
      </w:r>
      <w:hyperlink r:id="rId10" w:history="1">
        <w:r w:rsidRPr="00C31E1B">
          <w:rPr>
            <w:rStyle w:val="Hyperlink"/>
            <w:rFonts w:ascii="Roboto" w:hAnsi="Roboto"/>
            <w:sz w:val="24"/>
            <w:szCs w:val="24"/>
          </w:rPr>
          <w:t>create a poster</w:t>
        </w:r>
      </w:hyperlink>
      <w:r w:rsidRPr="00C31E1B">
        <w:rPr>
          <w:rFonts w:ascii="Roboto" w:hAnsi="Roboto"/>
          <w:sz w:val="24"/>
          <w:szCs w:val="24"/>
        </w:rPr>
        <w:t xml:space="preserve">; using a more constrained </w:t>
      </w:r>
      <w:r w:rsidR="00FD384D" w:rsidRPr="00C31E1B">
        <w:rPr>
          <w:rFonts w:ascii="Roboto" w:hAnsi="Roboto"/>
          <w:sz w:val="24"/>
          <w:szCs w:val="24"/>
        </w:rPr>
        <w:t xml:space="preserve">method such as a modified </w:t>
      </w:r>
      <w:hyperlink r:id="rId11" w:history="1">
        <w:proofErr w:type="spellStart"/>
        <w:r w:rsidR="00FD384D" w:rsidRPr="00C31E1B">
          <w:rPr>
            <w:rStyle w:val="Hyperlink"/>
            <w:rFonts w:ascii="Roboto" w:hAnsi="Roboto"/>
            <w:sz w:val="24"/>
            <w:szCs w:val="24"/>
          </w:rPr>
          <w:t>PechaK</w:t>
        </w:r>
        <w:r w:rsidRPr="00C31E1B">
          <w:rPr>
            <w:rStyle w:val="Hyperlink"/>
            <w:rFonts w:ascii="Roboto" w:hAnsi="Roboto"/>
            <w:sz w:val="24"/>
            <w:szCs w:val="24"/>
          </w:rPr>
          <w:t>ucha</w:t>
        </w:r>
        <w:proofErr w:type="spellEnd"/>
      </w:hyperlink>
      <w:r w:rsidRPr="00C31E1B">
        <w:rPr>
          <w:rFonts w:ascii="Roboto" w:hAnsi="Roboto"/>
          <w:sz w:val="24"/>
          <w:szCs w:val="24"/>
        </w:rPr>
        <w:t xml:space="preserve"> technique.</w:t>
      </w:r>
    </w:p>
    <w:p w14:paraId="61F02CAF" w14:textId="77777777" w:rsidR="00AC056D" w:rsidRPr="00C31E1B" w:rsidRDefault="00087256" w:rsidP="00C31E1B">
      <w:pPr>
        <w:spacing w:after="120"/>
        <w:rPr>
          <w:rFonts w:ascii="Roboto" w:hAnsi="Roboto"/>
          <w:sz w:val="24"/>
          <w:szCs w:val="24"/>
        </w:rPr>
      </w:pPr>
      <w:r w:rsidRPr="00C31E1B">
        <w:rPr>
          <w:rFonts w:ascii="Roboto" w:hAnsi="Roboto"/>
          <w:sz w:val="24"/>
          <w:szCs w:val="24"/>
        </w:rPr>
        <w:t xml:space="preserve">You could also consider having students record themselves, outside class, and submit the video. This may reduce student stress, remove scheduling problems, and make marking and feedback less logistically complex (but also less immediate). It would require some technical guidance for students, use slightly different skills, and risks students working on their film-making skills. The videos could be shared with other students and brought into teaching through other routes. </w:t>
      </w:r>
    </w:p>
    <w:p w14:paraId="55EF0D50" w14:textId="77777777" w:rsidR="00FE703C" w:rsidRPr="00C31E1B" w:rsidRDefault="00FE703C" w:rsidP="00C31E1B">
      <w:pPr>
        <w:spacing w:after="120"/>
        <w:rPr>
          <w:rFonts w:ascii="Roboto" w:hAnsi="Roboto"/>
          <w:sz w:val="24"/>
          <w:szCs w:val="24"/>
        </w:rPr>
      </w:pPr>
    </w:p>
    <w:p w14:paraId="4EDEAACD" w14:textId="77777777" w:rsidR="00AC056D" w:rsidRPr="00C31E1B" w:rsidRDefault="00AC056D" w:rsidP="00C31E1B">
      <w:pPr>
        <w:spacing w:after="120"/>
        <w:rPr>
          <w:rFonts w:ascii="Roboto" w:hAnsi="Roboto"/>
          <w:b/>
          <w:sz w:val="24"/>
          <w:szCs w:val="24"/>
        </w:rPr>
      </w:pPr>
      <w:r w:rsidRPr="00C31E1B">
        <w:rPr>
          <w:rFonts w:ascii="Roboto" w:hAnsi="Roboto"/>
          <w:b/>
          <w:sz w:val="24"/>
          <w:szCs w:val="24"/>
        </w:rPr>
        <w:t>Works cited</w:t>
      </w:r>
    </w:p>
    <w:p w14:paraId="4F4B5429" w14:textId="77777777" w:rsidR="00087256" w:rsidRPr="00C31E1B" w:rsidRDefault="00AC056D" w:rsidP="00C31E1B">
      <w:pPr>
        <w:spacing w:after="120"/>
        <w:rPr>
          <w:rFonts w:ascii="Roboto" w:hAnsi="Roboto"/>
          <w:sz w:val="24"/>
          <w:szCs w:val="24"/>
        </w:rPr>
      </w:pPr>
      <w:proofErr w:type="spellStart"/>
      <w:r w:rsidRPr="00C31E1B">
        <w:rPr>
          <w:rFonts w:ascii="Roboto" w:hAnsi="Roboto"/>
          <w:sz w:val="24"/>
          <w:szCs w:val="24"/>
        </w:rPr>
        <w:t>Aryadoust</w:t>
      </w:r>
      <w:proofErr w:type="spellEnd"/>
      <w:r w:rsidRPr="00C31E1B">
        <w:rPr>
          <w:rFonts w:ascii="Roboto" w:hAnsi="Roboto"/>
          <w:sz w:val="24"/>
          <w:szCs w:val="24"/>
        </w:rPr>
        <w:t>, V. (2016) Gender and Academic Major Bias in Peer Assessment of Oral Presentations Language Assessment Quarterly, v13 n1 p1-24.</w:t>
      </w:r>
    </w:p>
    <w:p w14:paraId="17E892FF" w14:textId="77777777" w:rsidR="00D438B8" w:rsidRPr="00C31E1B" w:rsidRDefault="00087256" w:rsidP="00C31E1B">
      <w:pPr>
        <w:spacing w:after="120"/>
        <w:rPr>
          <w:rFonts w:ascii="Roboto" w:hAnsi="Roboto"/>
          <w:sz w:val="24"/>
          <w:szCs w:val="24"/>
        </w:rPr>
      </w:pPr>
      <w:r w:rsidRPr="00C31E1B">
        <w:rPr>
          <w:rFonts w:ascii="Roboto" w:hAnsi="Roboto"/>
          <w:sz w:val="24"/>
          <w:szCs w:val="24"/>
        </w:rPr>
        <w:t xml:space="preserve">Murphy, K. &amp; S. Barry (2016) 'Feed-forward: Students gaining more from assessment via deeper engagement in video-recorded presentations', Assessment and </w:t>
      </w:r>
      <w:r w:rsidR="00D438B8" w:rsidRPr="00C31E1B">
        <w:rPr>
          <w:rFonts w:ascii="Roboto" w:hAnsi="Roboto"/>
          <w:sz w:val="24"/>
          <w:szCs w:val="24"/>
        </w:rPr>
        <w:t>Evaluation in Higher Education, v41 n2 p213-227 2016</w:t>
      </w:r>
    </w:p>
    <w:sectPr w:rsidR="00D438B8" w:rsidRPr="00C31E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D2D89"/>
    <w:multiLevelType w:val="hybridMultilevel"/>
    <w:tmpl w:val="45F8B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66F"/>
    <w:rsid w:val="000469C5"/>
    <w:rsid w:val="00046C20"/>
    <w:rsid w:val="00087256"/>
    <w:rsid w:val="001A0146"/>
    <w:rsid w:val="001F5E91"/>
    <w:rsid w:val="002D4757"/>
    <w:rsid w:val="002F0C42"/>
    <w:rsid w:val="00350E65"/>
    <w:rsid w:val="004532C0"/>
    <w:rsid w:val="00455939"/>
    <w:rsid w:val="0055758B"/>
    <w:rsid w:val="005A4581"/>
    <w:rsid w:val="006E617F"/>
    <w:rsid w:val="00716A99"/>
    <w:rsid w:val="00720D58"/>
    <w:rsid w:val="007A766F"/>
    <w:rsid w:val="008257F4"/>
    <w:rsid w:val="00917899"/>
    <w:rsid w:val="009C0D9A"/>
    <w:rsid w:val="00A11D22"/>
    <w:rsid w:val="00A53564"/>
    <w:rsid w:val="00A82595"/>
    <w:rsid w:val="00AC056D"/>
    <w:rsid w:val="00AE352D"/>
    <w:rsid w:val="00AF7193"/>
    <w:rsid w:val="00BA0675"/>
    <w:rsid w:val="00C31E1B"/>
    <w:rsid w:val="00C639D6"/>
    <w:rsid w:val="00C734B0"/>
    <w:rsid w:val="00CB0531"/>
    <w:rsid w:val="00D438B8"/>
    <w:rsid w:val="00DA4257"/>
    <w:rsid w:val="00DB32AB"/>
    <w:rsid w:val="00E80DEF"/>
    <w:rsid w:val="00F838C5"/>
    <w:rsid w:val="00FB592D"/>
    <w:rsid w:val="00FD384D"/>
    <w:rsid w:val="00FE703C"/>
    <w:rsid w:val="00FF6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3D55"/>
  <w15:docId w15:val="{C4263A43-8F13-4659-B1D2-3C9C2EDF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D22"/>
    <w:pPr>
      <w:ind w:left="720"/>
      <w:contextualSpacing/>
    </w:pPr>
  </w:style>
  <w:style w:type="character" w:styleId="Hyperlink">
    <w:name w:val="Hyperlink"/>
    <w:basedOn w:val="DefaultParagraphFont"/>
    <w:uiPriority w:val="99"/>
    <w:unhideWhenUsed/>
    <w:rsid w:val="00FD38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67829">
      <w:bodyDiv w:val="1"/>
      <w:marLeft w:val="0"/>
      <w:marRight w:val="0"/>
      <w:marTop w:val="0"/>
      <w:marBottom w:val="0"/>
      <w:divBdr>
        <w:top w:val="none" w:sz="0" w:space="0" w:color="auto"/>
        <w:left w:val="none" w:sz="0" w:space="0" w:color="auto"/>
        <w:bottom w:val="none" w:sz="0" w:space="0" w:color="auto"/>
        <w:right w:val="none" w:sz="0" w:space="0" w:color="auto"/>
      </w:divBdr>
      <w:divsChild>
        <w:div w:id="1505364413">
          <w:marLeft w:val="0"/>
          <w:marRight w:val="0"/>
          <w:marTop w:val="0"/>
          <w:marBottom w:val="150"/>
          <w:divBdr>
            <w:top w:val="none" w:sz="0" w:space="0" w:color="auto"/>
            <w:left w:val="none" w:sz="0" w:space="0" w:color="auto"/>
            <w:bottom w:val="none" w:sz="0" w:space="0" w:color="auto"/>
            <w:right w:val="none" w:sz="0" w:space="0" w:color="auto"/>
          </w:divBdr>
        </w:div>
        <w:div w:id="1887639677">
          <w:marLeft w:val="0"/>
          <w:marRight w:val="0"/>
          <w:marTop w:val="0"/>
          <w:marBottom w:val="120"/>
          <w:divBdr>
            <w:top w:val="none" w:sz="0" w:space="0" w:color="auto"/>
            <w:left w:val="none" w:sz="0" w:space="0" w:color="auto"/>
            <w:bottom w:val="none" w:sz="0" w:space="0" w:color="auto"/>
            <w:right w:val="none" w:sz="0" w:space="0" w:color="auto"/>
          </w:divBdr>
          <w:divsChild>
            <w:div w:id="7220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8060">
      <w:bodyDiv w:val="1"/>
      <w:marLeft w:val="0"/>
      <w:marRight w:val="0"/>
      <w:marTop w:val="0"/>
      <w:marBottom w:val="0"/>
      <w:divBdr>
        <w:top w:val="none" w:sz="0" w:space="0" w:color="auto"/>
        <w:left w:val="none" w:sz="0" w:space="0" w:color="auto"/>
        <w:bottom w:val="none" w:sz="0" w:space="0" w:color="auto"/>
        <w:right w:val="none" w:sz="0" w:space="0" w:color="auto"/>
      </w:divBdr>
    </w:div>
    <w:div w:id="836921979">
      <w:bodyDiv w:val="1"/>
      <w:marLeft w:val="0"/>
      <w:marRight w:val="0"/>
      <w:marTop w:val="0"/>
      <w:marBottom w:val="0"/>
      <w:divBdr>
        <w:top w:val="none" w:sz="0" w:space="0" w:color="auto"/>
        <w:left w:val="none" w:sz="0" w:space="0" w:color="auto"/>
        <w:bottom w:val="none" w:sz="0" w:space="0" w:color="auto"/>
        <w:right w:val="none" w:sz="0" w:space="0" w:color="auto"/>
      </w:divBdr>
    </w:div>
    <w:div w:id="1329479369">
      <w:bodyDiv w:val="1"/>
      <w:marLeft w:val="0"/>
      <w:marRight w:val="0"/>
      <w:marTop w:val="0"/>
      <w:marBottom w:val="0"/>
      <w:divBdr>
        <w:top w:val="none" w:sz="0" w:space="0" w:color="auto"/>
        <w:left w:val="none" w:sz="0" w:space="0" w:color="auto"/>
        <w:bottom w:val="none" w:sz="0" w:space="0" w:color="auto"/>
        <w:right w:val="none" w:sz="0" w:space="0" w:color="auto"/>
      </w:divBdr>
    </w:div>
    <w:div w:id="1591885561">
      <w:bodyDiv w:val="1"/>
      <w:marLeft w:val="0"/>
      <w:marRight w:val="0"/>
      <w:marTop w:val="0"/>
      <w:marBottom w:val="0"/>
      <w:divBdr>
        <w:top w:val="none" w:sz="0" w:space="0" w:color="auto"/>
        <w:left w:val="none" w:sz="0" w:space="0" w:color="auto"/>
        <w:bottom w:val="none" w:sz="0" w:space="0" w:color="auto"/>
        <w:right w:val="none" w:sz="0" w:space="0" w:color="auto"/>
      </w:divBdr>
      <w:divsChild>
        <w:div w:id="1226994293">
          <w:marLeft w:val="0"/>
          <w:marRight w:val="0"/>
          <w:marTop w:val="0"/>
          <w:marBottom w:val="150"/>
          <w:divBdr>
            <w:top w:val="none" w:sz="0" w:space="0" w:color="auto"/>
            <w:left w:val="none" w:sz="0" w:space="0" w:color="auto"/>
            <w:bottom w:val="none" w:sz="0" w:space="0" w:color="auto"/>
            <w:right w:val="none" w:sz="0" w:space="0" w:color="auto"/>
          </w:divBdr>
        </w:div>
        <w:div w:id="1146237341">
          <w:marLeft w:val="0"/>
          <w:marRight w:val="0"/>
          <w:marTop w:val="0"/>
          <w:marBottom w:val="120"/>
          <w:divBdr>
            <w:top w:val="none" w:sz="0" w:space="0" w:color="auto"/>
            <w:left w:val="none" w:sz="0" w:space="0" w:color="auto"/>
            <w:bottom w:val="none" w:sz="0" w:space="0" w:color="auto"/>
            <w:right w:val="none" w:sz="0" w:space="0" w:color="auto"/>
          </w:divBdr>
          <w:divsChild>
            <w:div w:id="282077387">
              <w:marLeft w:val="0"/>
              <w:marRight w:val="0"/>
              <w:marTop w:val="0"/>
              <w:marBottom w:val="0"/>
              <w:divBdr>
                <w:top w:val="none" w:sz="0" w:space="0" w:color="auto"/>
                <w:left w:val="none" w:sz="0" w:space="0" w:color="auto"/>
                <w:bottom w:val="none" w:sz="0" w:space="0" w:color="auto"/>
                <w:right w:val="none" w:sz="0" w:space="0" w:color="auto"/>
              </w:divBdr>
            </w:div>
            <w:div w:id="486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lse.ac.uk/staff/divisions/Teaching-and-Learning-Centre/Assets/Documents/Notes-of-guidance/Giving-feedback-on-oral-presentations-A4-May-2011.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fo.lse.ac.uk/staff/divisions/Teaching-and-Learning-Centre/Assessment-Toolkit/Assessment-methods/Oral-presenta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lse.ac.uk/staff/divisions/Teaching-and-Learning-Centre/Assessment-Toolkit/LSE-Assessment-Toolkit" TargetMode="External"/><Relationship Id="rId11" Type="http://schemas.openxmlformats.org/officeDocument/2006/relationships/hyperlink" Target="https://www.pechakucha.org/faq" TargetMode="External"/><Relationship Id="rId5" Type="http://schemas.openxmlformats.org/officeDocument/2006/relationships/image" Target="media/image1.png"/><Relationship Id="rId10" Type="http://schemas.openxmlformats.org/officeDocument/2006/relationships/hyperlink" Target="https://info.lse.ac.uk/staff/divisions/Teaching-and-Learning-Centre/Assessment-Toolkit/Assessment-methods/Posters" TargetMode="External"/><Relationship Id="rId4" Type="http://schemas.openxmlformats.org/officeDocument/2006/relationships/webSettings" Target="webSettings.xml"/><Relationship Id="rId9" Type="http://schemas.openxmlformats.org/officeDocument/2006/relationships/hyperlink" Target="https://info.lse.ac.uk/staff/divisions/Teaching-and-Learning-Centre/Assets/Documents/Notes-of-guidance/Sample-pro-forma-for-presentation-feedback-Word.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Faggiani,AD</cp:lastModifiedBy>
  <cp:revision>2</cp:revision>
  <dcterms:created xsi:type="dcterms:W3CDTF">2022-11-21T11:02:00Z</dcterms:created>
  <dcterms:modified xsi:type="dcterms:W3CDTF">2022-11-21T11:02:00Z</dcterms:modified>
</cp:coreProperties>
</file>